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AAAD" w14:textId="11B2E41E" w:rsidR="000B77B2" w:rsidRPr="00CD3131" w:rsidRDefault="00C8180E">
      <w:pPr>
        <w:rPr>
          <w:rFonts w:ascii="Arial" w:hAnsi="Arial" w:cs="Arial"/>
          <w:b/>
          <w:bCs/>
        </w:rPr>
      </w:pPr>
      <w:r w:rsidRPr="00C8180E">
        <w:rPr>
          <w:rFonts w:ascii="Arial" w:hAnsi="Arial" w:cs="Arial"/>
          <w:b/>
          <w:bCs/>
          <w:noProof/>
          <w:color w:val="FF0000"/>
        </w:rPr>
        <w:drawing>
          <wp:anchor distT="0" distB="0" distL="114300" distR="114300" simplePos="0" relativeHeight="251658240" behindDoc="0" locked="0" layoutInCell="1" allowOverlap="1" wp14:anchorId="325FC50E" wp14:editId="5DB3D1BE">
            <wp:simplePos x="0" y="0"/>
            <wp:positionH relativeFrom="margin">
              <wp:posOffset>4694251</wp:posOffset>
            </wp:positionH>
            <wp:positionV relativeFrom="margin">
              <wp:posOffset>-652007</wp:posOffset>
            </wp:positionV>
            <wp:extent cx="1252855" cy="1175385"/>
            <wp:effectExtent l="0" t="0" r="4445" b="5715"/>
            <wp:wrapSquare wrapText="bothSides"/>
            <wp:docPr id="1694268361" name="Picture 1">
              <a:extLst xmlns:a="http://schemas.openxmlformats.org/drawingml/2006/main">
                <a:ext uri="{FF2B5EF4-FFF2-40B4-BE49-F238E27FC236}">
                  <a16:creationId xmlns:a16="http://schemas.microsoft.com/office/drawing/2014/main" id="{501F4E64-1AA4-4508-A8B2-4E947A19C0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8361" name="Picture 16942683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2855" cy="1175385"/>
                    </a:xfrm>
                    <a:prstGeom prst="rect">
                      <a:avLst/>
                    </a:prstGeom>
                  </pic:spPr>
                </pic:pic>
              </a:graphicData>
            </a:graphic>
            <wp14:sizeRelH relativeFrom="margin">
              <wp14:pctWidth>0</wp14:pctWidth>
            </wp14:sizeRelH>
            <wp14:sizeRelV relativeFrom="margin">
              <wp14:pctHeight>0</wp14:pctHeight>
            </wp14:sizeRelV>
          </wp:anchor>
        </w:drawing>
      </w:r>
      <w:r w:rsidR="000B77B2" w:rsidRPr="00C8180E">
        <w:rPr>
          <w:rFonts w:ascii="Arial" w:hAnsi="Arial" w:cs="Arial"/>
          <w:b/>
          <w:bCs/>
          <w:color w:val="FF0000"/>
        </w:rPr>
        <w:t>From the Desk of IFT Chief Science and Technology Officer Brendan Niemira, PhD</w:t>
      </w:r>
    </w:p>
    <w:p w14:paraId="6643EE42" w14:textId="4ED29D0F" w:rsidR="00D05ED9" w:rsidRPr="00CD3131" w:rsidRDefault="000B77B2">
      <w:pPr>
        <w:rPr>
          <w:rFonts w:ascii="Arial" w:hAnsi="Arial" w:cs="Arial"/>
          <w:b/>
          <w:bCs/>
        </w:rPr>
      </w:pPr>
      <w:r w:rsidRPr="00CD3131">
        <w:rPr>
          <w:rFonts w:ascii="Arial" w:hAnsi="Arial" w:cs="Arial"/>
          <w:b/>
          <w:bCs/>
        </w:rPr>
        <w:t xml:space="preserve">OMB’s Proposed </w:t>
      </w:r>
      <w:r w:rsidR="00FB4BF6">
        <w:rPr>
          <w:rFonts w:ascii="Arial" w:hAnsi="Arial" w:cs="Arial"/>
          <w:b/>
          <w:bCs/>
        </w:rPr>
        <w:t>Fun</w:t>
      </w:r>
      <w:r w:rsidR="001E3723">
        <w:rPr>
          <w:rFonts w:ascii="Arial" w:hAnsi="Arial" w:cs="Arial"/>
          <w:b/>
          <w:bCs/>
        </w:rPr>
        <w:t xml:space="preserve">ding </w:t>
      </w:r>
      <w:r w:rsidRPr="00CD3131">
        <w:rPr>
          <w:rFonts w:ascii="Arial" w:hAnsi="Arial" w:cs="Arial"/>
          <w:b/>
          <w:bCs/>
        </w:rPr>
        <w:t>Rule</w:t>
      </w:r>
      <w:r w:rsidR="00753876">
        <w:rPr>
          <w:rFonts w:ascii="Arial" w:hAnsi="Arial" w:cs="Arial"/>
          <w:b/>
          <w:bCs/>
        </w:rPr>
        <w:t>s Wi</w:t>
      </w:r>
      <w:r w:rsidR="00DC5FD0">
        <w:rPr>
          <w:rFonts w:ascii="Arial" w:hAnsi="Arial" w:cs="Arial"/>
          <w:b/>
          <w:bCs/>
        </w:rPr>
        <w:t>ll Un</w:t>
      </w:r>
      <w:r w:rsidR="008F64DD">
        <w:rPr>
          <w:rFonts w:ascii="Arial" w:hAnsi="Arial" w:cs="Arial"/>
          <w:b/>
          <w:bCs/>
        </w:rPr>
        <w:t>dermine</w:t>
      </w:r>
      <w:r w:rsidRPr="00CD3131">
        <w:rPr>
          <w:rFonts w:ascii="Arial" w:hAnsi="Arial" w:cs="Arial"/>
          <w:b/>
          <w:bCs/>
        </w:rPr>
        <w:t xml:space="preserve"> Scientific Research in the U.S.</w:t>
      </w:r>
    </w:p>
    <w:p w14:paraId="1264311E" w14:textId="080BFB58" w:rsidR="000B77B2" w:rsidRPr="00CD3131" w:rsidRDefault="00D96D43">
      <w:pPr>
        <w:rPr>
          <w:rFonts w:ascii="Arial" w:hAnsi="Arial" w:cs="Arial"/>
        </w:rPr>
      </w:pPr>
      <w:r>
        <w:rPr>
          <w:rFonts w:ascii="Arial" w:hAnsi="Arial" w:cs="Arial"/>
        </w:rPr>
        <w:t>S</w:t>
      </w:r>
      <w:r w:rsidR="0095665B">
        <w:rPr>
          <w:rFonts w:ascii="Arial" w:hAnsi="Arial" w:cs="Arial"/>
        </w:rPr>
        <w:t>cie</w:t>
      </w:r>
      <w:r w:rsidR="00A34B9C">
        <w:rPr>
          <w:rFonts w:ascii="Arial" w:hAnsi="Arial" w:cs="Arial"/>
        </w:rPr>
        <w:t xml:space="preserve">nce </w:t>
      </w:r>
      <w:r w:rsidR="00DD257A">
        <w:rPr>
          <w:rFonts w:ascii="Arial" w:hAnsi="Arial" w:cs="Arial"/>
        </w:rPr>
        <w:t>in the U</w:t>
      </w:r>
      <w:r w:rsidR="00943B35">
        <w:rPr>
          <w:rFonts w:ascii="Arial" w:hAnsi="Arial" w:cs="Arial"/>
        </w:rPr>
        <w:t>nited States</w:t>
      </w:r>
      <w:r w:rsidR="00DD257A">
        <w:rPr>
          <w:rFonts w:ascii="Arial" w:hAnsi="Arial" w:cs="Arial"/>
        </w:rPr>
        <w:t xml:space="preserve"> </w:t>
      </w:r>
      <w:r w:rsidR="00C15C00">
        <w:rPr>
          <w:rFonts w:ascii="Arial" w:hAnsi="Arial" w:cs="Arial"/>
        </w:rPr>
        <w:t>faces</w:t>
      </w:r>
      <w:r w:rsidR="00CB2677">
        <w:rPr>
          <w:rFonts w:ascii="Arial" w:hAnsi="Arial" w:cs="Arial"/>
        </w:rPr>
        <w:t xml:space="preserve"> </w:t>
      </w:r>
      <w:r w:rsidR="00B91D85">
        <w:rPr>
          <w:rFonts w:ascii="Arial" w:hAnsi="Arial" w:cs="Arial"/>
        </w:rPr>
        <w:t xml:space="preserve">a </w:t>
      </w:r>
      <w:r w:rsidR="004260EC">
        <w:rPr>
          <w:rFonts w:ascii="Arial" w:hAnsi="Arial" w:cs="Arial"/>
        </w:rPr>
        <w:t xml:space="preserve">turning point. </w:t>
      </w:r>
      <w:r w:rsidR="000B77B2" w:rsidRPr="00CD3131">
        <w:rPr>
          <w:rFonts w:ascii="Arial" w:hAnsi="Arial" w:cs="Arial"/>
        </w:rPr>
        <w:t xml:space="preserve">The </w:t>
      </w:r>
      <w:hyperlink r:id="rId6" w:history="1">
        <w:r w:rsidR="000B77B2" w:rsidRPr="00373E1B">
          <w:rPr>
            <w:rStyle w:val="Hyperlink"/>
            <w:rFonts w:ascii="Arial" w:hAnsi="Arial" w:cs="Arial"/>
          </w:rPr>
          <w:t>Office of Management and Budget’s Proposed Rule on Federal Financial Assistance (OMB-2026-0034</w:t>
        </w:r>
      </w:hyperlink>
      <w:r w:rsidR="000B77B2" w:rsidRPr="00CD3131">
        <w:rPr>
          <w:rFonts w:ascii="Arial" w:hAnsi="Arial" w:cs="Arial"/>
        </w:rPr>
        <w:t>), introduced on May 29, 2026, would significantly revise the Uniform Guidance governing federal grants, cooperative agreements, and other assistance</w:t>
      </w:r>
      <w:r w:rsidR="007B2A19">
        <w:rPr>
          <w:rFonts w:ascii="Arial" w:hAnsi="Arial" w:cs="Arial"/>
        </w:rPr>
        <w:t xml:space="preserve"> for all federally funded science, including food science</w:t>
      </w:r>
      <w:r w:rsidR="000B77B2" w:rsidRPr="00CD3131">
        <w:rPr>
          <w:rFonts w:ascii="Arial" w:hAnsi="Arial" w:cs="Arial"/>
        </w:rPr>
        <w:t>. Framed as an oversight and accountability update, it would also materially change how awards are reviewed, managed, monitored, and terminated.</w:t>
      </w:r>
      <w:r w:rsidR="00A55193" w:rsidRPr="00A55193">
        <w:rPr>
          <w:rFonts w:ascii="Arial" w:hAnsi="Arial" w:cs="Arial"/>
        </w:rPr>
        <w:t xml:space="preserve"> </w:t>
      </w:r>
      <w:r w:rsidR="00A55193">
        <w:rPr>
          <w:rFonts w:ascii="Arial" w:hAnsi="Arial" w:cs="Arial"/>
        </w:rPr>
        <w:t>If implemented without safeguards, the rule would erode U.S. leadership as other countries expand research investment, publications systems, and global science influence.</w:t>
      </w:r>
    </w:p>
    <w:p w14:paraId="75C266F4" w14:textId="4C312A5F" w:rsidR="000B77B2" w:rsidRPr="00CD3131" w:rsidRDefault="000B77B2">
      <w:pPr>
        <w:rPr>
          <w:rFonts w:ascii="Arial" w:hAnsi="Arial" w:cs="Arial"/>
        </w:rPr>
      </w:pPr>
      <w:r w:rsidRPr="00CD3131">
        <w:rPr>
          <w:rFonts w:ascii="Arial" w:hAnsi="Arial" w:cs="Arial"/>
        </w:rPr>
        <w:t xml:space="preserve">Communication, connection, and collaboration are the lifeblood of modern science, across all </w:t>
      </w:r>
      <w:r w:rsidR="00771155">
        <w:rPr>
          <w:rFonts w:ascii="Arial" w:hAnsi="Arial" w:cs="Arial"/>
        </w:rPr>
        <w:t xml:space="preserve">research </w:t>
      </w:r>
      <w:r w:rsidRPr="00CD3131">
        <w:rPr>
          <w:rFonts w:ascii="Arial" w:hAnsi="Arial" w:cs="Arial"/>
        </w:rPr>
        <w:t xml:space="preserve">disciplines. The technological breakthroughs that will shape the future </w:t>
      </w:r>
      <w:r w:rsidR="00EA5D26">
        <w:rPr>
          <w:rFonts w:ascii="Arial" w:hAnsi="Arial" w:cs="Arial"/>
        </w:rPr>
        <w:t xml:space="preserve">of food </w:t>
      </w:r>
      <w:r w:rsidRPr="00CD3131">
        <w:rPr>
          <w:rFonts w:ascii="Arial" w:hAnsi="Arial" w:cs="Arial"/>
        </w:rPr>
        <w:t xml:space="preserve">come from high-quality, peer-reviewed research. The OMB’s proposed changes to federal funding would make alignment with political priorities, not scientific merit, the deciding factor for where critical research funding goes. If enacted as proposed, this change would likely restrict communication, hamper connection, and throttle collaboration across the U.S. and internationally, damaging American science significantly. </w:t>
      </w:r>
    </w:p>
    <w:p w14:paraId="204DD29B" w14:textId="12F3722F" w:rsidR="000B77B2" w:rsidRDefault="000B77B2">
      <w:pPr>
        <w:rPr>
          <w:rFonts w:ascii="Arial" w:hAnsi="Arial" w:cs="Arial"/>
        </w:rPr>
      </w:pPr>
      <w:r w:rsidRPr="00CD3131">
        <w:rPr>
          <w:rFonts w:ascii="Arial" w:hAnsi="Arial" w:cs="Arial"/>
        </w:rPr>
        <w:t xml:space="preserve">For IFT and similarly situated scientific and scholarly societies, the proposal </w:t>
      </w:r>
      <w:r w:rsidR="004F3EA3">
        <w:rPr>
          <w:rFonts w:ascii="Arial" w:hAnsi="Arial" w:cs="Arial"/>
        </w:rPr>
        <w:t>w</w:t>
      </w:r>
      <w:r w:rsidRPr="00CD3131">
        <w:rPr>
          <w:rFonts w:ascii="Arial" w:hAnsi="Arial" w:cs="Arial"/>
        </w:rPr>
        <w:t xml:space="preserve">ould reduce confidence in how federally funded work is delivered and shared; increase grant compliance and oversight costs; weaken long-term planning tied to federal awards; and discourage research dissemination, convening, peer review, and cross sector collaboration. Scholarly publishing is a particular concern. If journal subscriptions, publication costs, open access fees, or other publishing-related expenses become more difficult or unallowable, researchers may face new publishing barriers, societies may lose revenue that sustains editorial quality and community services, and smaller organizations </w:t>
      </w:r>
      <w:r w:rsidR="003A1AB3" w:rsidRPr="00CD3131">
        <w:rPr>
          <w:rFonts w:ascii="Arial" w:hAnsi="Arial" w:cs="Arial"/>
        </w:rPr>
        <w:t xml:space="preserve">may be less able to participate in federal opportunities. </w:t>
      </w:r>
      <w:r w:rsidR="00C86FCA">
        <w:rPr>
          <w:rFonts w:ascii="Arial" w:hAnsi="Arial" w:cs="Arial"/>
        </w:rPr>
        <w:t>By restricting the</w:t>
      </w:r>
      <w:r w:rsidR="007505D2">
        <w:rPr>
          <w:rFonts w:ascii="Arial" w:hAnsi="Arial" w:cs="Arial"/>
        </w:rPr>
        <w:t xml:space="preserve"> ability </w:t>
      </w:r>
      <w:r w:rsidR="00C86FCA">
        <w:rPr>
          <w:rFonts w:ascii="Arial" w:hAnsi="Arial" w:cs="Arial"/>
        </w:rPr>
        <w:t xml:space="preserve">of food scientists </w:t>
      </w:r>
      <w:r w:rsidR="00A367EC">
        <w:rPr>
          <w:rFonts w:ascii="Arial" w:hAnsi="Arial" w:cs="Arial"/>
        </w:rPr>
        <w:t xml:space="preserve">to publish, present, and share </w:t>
      </w:r>
      <w:r w:rsidR="00F04D05">
        <w:rPr>
          <w:rFonts w:ascii="Arial" w:hAnsi="Arial" w:cs="Arial"/>
        </w:rPr>
        <w:t xml:space="preserve">their </w:t>
      </w:r>
      <w:r w:rsidR="00A367EC">
        <w:rPr>
          <w:rFonts w:ascii="Arial" w:hAnsi="Arial" w:cs="Arial"/>
        </w:rPr>
        <w:t xml:space="preserve">research </w:t>
      </w:r>
      <w:r w:rsidR="005A2FFD">
        <w:rPr>
          <w:rFonts w:ascii="Arial" w:hAnsi="Arial" w:cs="Arial"/>
        </w:rPr>
        <w:t>data</w:t>
      </w:r>
      <w:r w:rsidR="00017CB7">
        <w:rPr>
          <w:rFonts w:ascii="Arial" w:hAnsi="Arial" w:cs="Arial"/>
        </w:rPr>
        <w:t>, th</w:t>
      </w:r>
      <w:r w:rsidR="008D165F">
        <w:rPr>
          <w:rFonts w:ascii="Arial" w:hAnsi="Arial" w:cs="Arial"/>
        </w:rPr>
        <w:t xml:space="preserve">at </w:t>
      </w:r>
      <w:r w:rsidR="00017CB7">
        <w:rPr>
          <w:rFonts w:ascii="Arial" w:hAnsi="Arial" w:cs="Arial"/>
        </w:rPr>
        <w:t>science</w:t>
      </w:r>
      <w:r w:rsidR="005A2FFD">
        <w:rPr>
          <w:rFonts w:ascii="Arial" w:hAnsi="Arial" w:cs="Arial"/>
        </w:rPr>
        <w:t xml:space="preserve"> w</w:t>
      </w:r>
      <w:r w:rsidR="00F260FD">
        <w:rPr>
          <w:rFonts w:ascii="Arial" w:hAnsi="Arial" w:cs="Arial"/>
        </w:rPr>
        <w:t xml:space="preserve">ill be </w:t>
      </w:r>
      <w:r w:rsidR="00BA115C">
        <w:rPr>
          <w:rFonts w:ascii="Arial" w:hAnsi="Arial" w:cs="Arial"/>
        </w:rPr>
        <w:t>siloed</w:t>
      </w:r>
      <w:r w:rsidR="00AB794F">
        <w:rPr>
          <w:rFonts w:ascii="Arial" w:hAnsi="Arial" w:cs="Arial"/>
        </w:rPr>
        <w:t>, diminished,</w:t>
      </w:r>
      <w:r w:rsidR="00F260FD">
        <w:rPr>
          <w:rFonts w:ascii="Arial" w:hAnsi="Arial" w:cs="Arial"/>
        </w:rPr>
        <w:t xml:space="preserve"> and</w:t>
      </w:r>
      <w:r w:rsidR="00B402BE">
        <w:rPr>
          <w:rFonts w:ascii="Arial" w:hAnsi="Arial" w:cs="Arial"/>
        </w:rPr>
        <w:t xml:space="preserve"> </w:t>
      </w:r>
      <w:r w:rsidR="00F260FD">
        <w:rPr>
          <w:rFonts w:ascii="Arial" w:hAnsi="Arial" w:cs="Arial"/>
        </w:rPr>
        <w:t xml:space="preserve">left to gather dust in isolation instead of </w:t>
      </w:r>
      <w:r w:rsidR="00D93888">
        <w:rPr>
          <w:rFonts w:ascii="Arial" w:hAnsi="Arial" w:cs="Arial"/>
        </w:rPr>
        <w:t xml:space="preserve">serving as the </w:t>
      </w:r>
      <w:r w:rsidR="00CD191E">
        <w:rPr>
          <w:rFonts w:ascii="Arial" w:hAnsi="Arial" w:cs="Arial"/>
        </w:rPr>
        <w:t xml:space="preserve">foundation for </w:t>
      </w:r>
      <w:r w:rsidR="00A25020">
        <w:rPr>
          <w:rFonts w:ascii="Arial" w:hAnsi="Arial" w:cs="Arial"/>
        </w:rPr>
        <w:t xml:space="preserve">scientific advancement. </w:t>
      </w:r>
      <w:r w:rsidR="003A1AB3" w:rsidRPr="00CD3131">
        <w:rPr>
          <w:rFonts w:ascii="Arial" w:hAnsi="Arial" w:cs="Arial"/>
        </w:rPr>
        <w:t>As China, allied nations, and strategic competitors expand R&amp;D investment, domestic publishing capacity, high-quality research output, and science-policy infrastructure, constraints on U.S.-based scholarly communication could reduce U.S. convening power and global scientific leadership.</w:t>
      </w:r>
    </w:p>
    <w:p w14:paraId="73226187" w14:textId="77777777" w:rsidR="00476842" w:rsidRDefault="001F72C6">
      <w:pPr>
        <w:rPr>
          <w:rFonts w:ascii="Arial" w:hAnsi="Arial" w:cs="Arial"/>
        </w:rPr>
      </w:pPr>
      <w:r>
        <w:rPr>
          <w:rFonts w:ascii="Arial" w:hAnsi="Arial" w:cs="Arial"/>
        </w:rPr>
        <w:t xml:space="preserve">The bottom line is this proposal would reshape federal grantmaking in ways that </w:t>
      </w:r>
      <w:r w:rsidR="0088468F">
        <w:rPr>
          <w:rFonts w:ascii="Arial" w:hAnsi="Arial" w:cs="Arial"/>
        </w:rPr>
        <w:t>w</w:t>
      </w:r>
      <w:r>
        <w:rPr>
          <w:rFonts w:ascii="Arial" w:hAnsi="Arial" w:cs="Arial"/>
        </w:rPr>
        <w:t xml:space="preserve">ould constrain core activities of scientific research, increase compliance costs and uncertainty, and weaken the long-term value of federal investments. For scholarly societies, it </w:t>
      </w:r>
      <w:r w:rsidR="0032396E">
        <w:rPr>
          <w:rFonts w:ascii="Arial" w:hAnsi="Arial" w:cs="Arial"/>
        </w:rPr>
        <w:t xml:space="preserve">represents a threat </w:t>
      </w:r>
      <w:r w:rsidR="003A57FB">
        <w:rPr>
          <w:rFonts w:ascii="Arial" w:hAnsi="Arial" w:cs="Arial"/>
        </w:rPr>
        <w:t>to</w:t>
      </w:r>
      <w:r>
        <w:rPr>
          <w:rFonts w:ascii="Arial" w:hAnsi="Arial" w:cs="Arial"/>
        </w:rPr>
        <w:t xml:space="preserve"> publishing, peer review, open </w:t>
      </w:r>
      <w:r w:rsidR="001A16E5">
        <w:rPr>
          <w:rFonts w:ascii="Arial" w:hAnsi="Arial" w:cs="Arial"/>
        </w:rPr>
        <w:t xml:space="preserve">access pathways, </w:t>
      </w:r>
      <w:r w:rsidR="00D70E7E">
        <w:rPr>
          <w:rFonts w:ascii="Arial" w:hAnsi="Arial" w:cs="Arial"/>
        </w:rPr>
        <w:t xml:space="preserve">collaboration, </w:t>
      </w:r>
      <w:r w:rsidR="001A16E5">
        <w:rPr>
          <w:rFonts w:ascii="Arial" w:hAnsi="Arial" w:cs="Arial"/>
        </w:rPr>
        <w:t xml:space="preserve">and the infrastructure that converts federally funded research into trusted public knowledge. </w:t>
      </w:r>
    </w:p>
    <w:p w14:paraId="7A604C9E" w14:textId="78F1E670" w:rsidR="001A16E5" w:rsidRDefault="00B102B7">
      <w:pPr>
        <w:rPr>
          <w:rFonts w:ascii="Arial" w:hAnsi="Arial" w:cs="Arial"/>
          <w:b/>
          <w:bCs/>
        </w:rPr>
      </w:pPr>
      <w:r w:rsidRPr="53C8A8E8">
        <w:rPr>
          <w:rFonts w:ascii="Arial" w:hAnsi="Arial" w:cs="Arial"/>
          <w:b/>
          <w:bCs/>
        </w:rPr>
        <w:t>The deadline to</w:t>
      </w:r>
      <w:r w:rsidR="00C8180E" w:rsidRPr="53C8A8E8">
        <w:rPr>
          <w:rFonts w:ascii="Arial" w:hAnsi="Arial" w:cs="Arial"/>
          <w:b/>
          <w:bCs/>
        </w:rPr>
        <w:t xml:space="preserve"> </w:t>
      </w:r>
      <w:hyperlink r:id="rId7" w:anchor="open-comment">
        <w:r w:rsidR="00C8180E" w:rsidRPr="53C8A8E8">
          <w:rPr>
            <w:rStyle w:val="Hyperlink"/>
            <w:rFonts w:ascii="Arial" w:hAnsi="Arial" w:cs="Arial"/>
            <w:b/>
            <w:bCs/>
          </w:rPr>
          <w:t xml:space="preserve">share </w:t>
        </w:r>
        <w:r w:rsidRPr="53C8A8E8">
          <w:rPr>
            <w:rStyle w:val="Hyperlink"/>
            <w:rFonts w:ascii="Arial" w:hAnsi="Arial" w:cs="Arial"/>
            <w:b/>
            <w:bCs/>
          </w:rPr>
          <w:t>comment</w:t>
        </w:r>
        <w:r w:rsidR="00C8180E" w:rsidRPr="53C8A8E8">
          <w:rPr>
            <w:rStyle w:val="Hyperlink"/>
            <w:rFonts w:ascii="Arial" w:hAnsi="Arial" w:cs="Arial"/>
            <w:b/>
            <w:bCs/>
          </w:rPr>
          <w:t>s</w:t>
        </w:r>
      </w:hyperlink>
      <w:r w:rsidRPr="53C8A8E8">
        <w:rPr>
          <w:rFonts w:ascii="Arial" w:hAnsi="Arial" w:cs="Arial"/>
          <w:b/>
          <w:bCs/>
        </w:rPr>
        <w:t xml:space="preserve"> is July 13, 2026. </w:t>
      </w:r>
    </w:p>
    <w:p w14:paraId="40F0C1FB" w14:textId="77777777" w:rsidR="00853A07" w:rsidRPr="00853A07" w:rsidRDefault="00853A07">
      <w:pPr>
        <w:pBdr>
          <w:bottom w:val="single" w:sz="6" w:space="1" w:color="auto"/>
        </w:pBdr>
        <w:rPr>
          <w:rFonts w:ascii="Arial" w:hAnsi="Arial" w:cs="Arial"/>
        </w:rPr>
      </w:pPr>
    </w:p>
    <w:p w14:paraId="3E46F27E" w14:textId="77777777" w:rsidR="005D2491" w:rsidRPr="00CD3131" w:rsidRDefault="005D2491">
      <w:pPr>
        <w:rPr>
          <w:rFonts w:ascii="Arial" w:hAnsi="Arial" w:cs="Arial"/>
        </w:rPr>
      </w:pPr>
    </w:p>
    <w:p w14:paraId="7975D48D" w14:textId="60E2A9D6" w:rsidR="000B77B2" w:rsidRPr="00CD3131" w:rsidRDefault="000B77B2">
      <w:pPr>
        <w:rPr>
          <w:rFonts w:ascii="Arial" w:hAnsi="Arial" w:cs="Arial"/>
        </w:rPr>
      </w:pPr>
      <w:r w:rsidRPr="00CD3131">
        <w:rPr>
          <w:rFonts w:ascii="Arial" w:hAnsi="Arial" w:cs="Arial"/>
          <w:b/>
          <w:bCs/>
        </w:rPr>
        <w:t>Key Issues</w:t>
      </w:r>
      <w:r w:rsidR="003A1AB3" w:rsidRPr="00CD3131">
        <w:rPr>
          <w:rFonts w:ascii="Arial" w:hAnsi="Arial" w:cs="Arial"/>
          <w:b/>
          <w:bCs/>
        </w:rPr>
        <w:t xml:space="preserve"> (At-A-Glance)</w:t>
      </w:r>
      <w:r w:rsidRPr="00CD3131">
        <w:rPr>
          <w:rFonts w:ascii="Arial" w:hAnsi="Arial" w:cs="Arial"/>
        </w:rPr>
        <w:t>:</w:t>
      </w:r>
    </w:p>
    <w:p w14:paraId="3462718B" w14:textId="709A2AD8" w:rsidR="000B77B2" w:rsidRPr="00CD3131" w:rsidRDefault="000B77B2" w:rsidP="000B77B2">
      <w:pPr>
        <w:pStyle w:val="ListParagraph"/>
        <w:numPr>
          <w:ilvl w:val="0"/>
          <w:numId w:val="1"/>
        </w:numPr>
        <w:rPr>
          <w:rFonts w:ascii="Arial" w:hAnsi="Arial" w:cs="Arial"/>
        </w:rPr>
      </w:pPr>
      <w:r w:rsidRPr="00CD3131">
        <w:rPr>
          <w:rFonts w:ascii="Arial" w:hAnsi="Arial" w:cs="Arial"/>
          <w:b/>
          <w:bCs/>
        </w:rPr>
        <w:t>Restrictions on mission-supporting activities</w:t>
      </w:r>
      <w:r w:rsidRPr="00CD3131">
        <w:rPr>
          <w:rFonts w:ascii="Arial" w:hAnsi="Arial" w:cs="Arial"/>
        </w:rPr>
        <w:t>. New restrictions or advance approvals for memberships, publications, journal subscriptions, article processing charges, conferences, and related activities could limit peer review, scientific publishing, attendance at scientific conferences, technical training, standards development, dissemination, and workforce development.</w:t>
      </w:r>
      <w:r w:rsidR="001A4FFA">
        <w:rPr>
          <w:rFonts w:ascii="Arial" w:hAnsi="Arial" w:cs="Arial"/>
        </w:rPr>
        <w:br/>
      </w:r>
    </w:p>
    <w:p w14:paraId="48BFF4BC" w14:textId="6A721382" w:rsidR="000B77B2" w:rsidRPr="00CD3131" w:rsidRDefault="000B77B2" w:rsidP="000B77B2">
      <w:pPr>
        <w:pStyle w:val="ListParagraph"/>
        <w:numPr>
          <w:ilvl w:val="0"/>
          <w:numId w:val="1"/>
        </w:numPr>
        <w:rPr>
          <w:rFonts w:ascii="Arial" w:hAnsi="Arial" w:cs="Arial"/>
        </w:rPr>
      </w:pPr>
      <w:r w:rsidRPr="00CD3131">
        <w:rPr>
          <w:rFonts w:ascii="Arial" w:hAnsi="Arial" w:cs="Arial"/>
          <w:b/>
          <w:bCs/>
        </w:rPr>
        <w:t>Greater political and funding uncertainty</w:t>
      </w:r>
      <w:r w:rsidRPr="00CD3131">
        <w:rPr>
          <w:rFonts w:ascii="Arial" w:hAnsi="Arial" w:cs="Arial"/>
        </w:rPr>
        <w:t>. Shifting pre-award review and funding approval from scientific panels of subject-matter experts to senior political appointees will reward alignment with policy priorities rather than scientific merit, reducing predictability and confidence in award decisions.</w:t>
      </w:r>
      <w:r w:rsidR="001A4FFA">
        <w:rPr>
          <w:rFonts w:ascii="Arial" w:hAnsi="Arial" w:cs="Arial"/>
        </w:rPr>
        <w:br/>
      </w:r>
    </w:p>
    <w:p w14:paraId="643218BD" w14:textId="4032F1FB" w:rsidR="000B77B2" w:rsidRPr="00CD3131" w:rsidRDefault="000B77B2" w:rsidP="000B77B2">
      <w:pPr>
        <w:pStyle w:val="ListParagraph"/>
        <w:numPr>
          <w:ilvl w:val="0"/>
          <w:numId w:val="1"/>
        </w:numPr>
        <w:rPr>
          <w:rFonts w:ascii="Arial" w:hAnsi="Arial" w:cs="Arial"/>
        </w:rPr>
      </w:pPr>
      <w:r w:rsidRPr="00CD3131">
        <w:rPr>
          <w:rFonts w:ascii="Arial" w:hAnsi="Arial" w:cs="Arial"/>
          <w:b/>
          <w:bCs/>
        </w:rPr>
        <w:t>Increased compliance burden</w:t>
      </w:r>
      <w:r w:rsidRPr="00CD3131">
        <w:rPr>
          <w:rFonts w:ascii="Arial" w:hAnsi="Arial" w:cs="Arial"/>
        </w:rPr>
        <w:t>. Additional approvals, oversight of affiliates and subrecipients, and internal tracing requirements could divert staff time and budget from mission delivery.</w:t>
      </w:r>
      <w:r w:rsidR="001A4FFA">
        <w:rPr>
          <w:rFonts w:ascii="Arial" w:hAnsi="Arial" w:cs="Arial"/>
        </w:rPr>
        <w:br/>
      </w:r>
    </w:p>
    <w:p w14:paraId="66A080C2" w14:textId="6286551B" w:rsidR="000B77B2" w:rsidRPr="00CD3131" w:rsidRDefault="000B77B2" w:rsidP="000B77B2">
      <w:pPr>
        <w:pStyle w:val="ListParagraph"/>
        <w:numPr>
          <w:ilvl w:val="0"/>
          <w:numId w:val="1"/>
        </w:numPr>
        <w:rPr>
          <w:rFonts w:ascii="Arial" w:hAnsi="Arial" w:cs="Arial"/>
        </w:rPr>
      </w:pPr>
      <w:r w:rsidRPr="00CD3131">
        <w:rPr>
          <w:rFonts w:ascii="Arial" w:hAnsi="Arial" w:cs="Arial"/>
          <w:b/>
          <w:bCs/>
        </w:rPr>
        <w:t>Higher operational risk</w:t>
      </w:r>
      <w:r w:rsidRPr="00CD3131">
        <w:rPr>
          <w:rFonts w:ascii="Arial" w:hAnsi="Arial" w:cs="Arial"/>
        </w:rPr>
        <w:t>: Gives broader authority of political appointees to suspend or terminate awards and stop previously approved ongoing research, including using administrative procedures to circumvent the will of Congress by defunding Congressionally approved research programs. These put at risk effective staffing, publication planning, convening, vendor commitments, and long-term program delivery.</w:t>
      </w:r>
      <w:r w:rsidR="001A4FFA">
        <w:rPr>
          <w:rFonts w:ascii="Arial" w:hAnsi="Arial" w:cs="Arial"/>
        </w:rPr>
        <w:br/>
      </w:r>
    </w:p>
    <w:p w14:paraId="63E82BDE" w14:textId="03EDAA29" w:rsidR="000B77B2" w:rsidRPr="00CD3131" w:rsidRDefault="000B77B2" w:rsidP="000B77B2">
      <w:pPr>
        <w:pStyle w:val="ListParagraph"/>
        <w:numPr>
          <w:ilvl w:val="0"/>
          <w:numId w:val="1"/>
        </w:numPr>
        <w:rPr>
          <w:rFonts w:ascii="Arial" w:hAnsi="Arial" w:cs="Arial"/>
        </w:rPr>
      </w:pPr>
      <w:r w:rsidRPr="00CD3131">
        <w:rPr>
          <w:rFonts w:ascii="Arial" w:hAnsi="Arial" w:cs="Arial"/>
          <w:b/>
          <w:bCs/>
        </w:rPr>
        <w:t>Weakens global science competitiveness</w:t>
      </w:r>
      <w:r w:rsidRPr="00CD3131">
        <w:rPr>
          <w:rFonts w:ascii="Arial" w:hAnsi="Arial" w:cs="Arial"/>
        </w:rPr>
        <w:t xml:space="preserve">. U.S. competitors and partners are expanding science investment, publication output, and research infrastructure. China is strengthening domestic journals, while South Korea, India, Singapore, Japan, the European Union, and other strategic competitors are investing in research capacity and science-policy infrastructure. If U.S. rules make federally funded publishing, convening, or dissemination harder, it is likely that scientific influence, spin-off technologies, talent attraction, and agenda-setting capacity could shift away from the United States. </w:t>
      </w:r>
    </w:p>
    <w:p w14:paraId="1BA69977" w14:textId="77777777" w:rsidR="000B77B2" w:rsidRPr="00CD3131" w:rsidRDefault="000B77B2">
      <w:pPr>
        <w:rPr>
          <w:rFonts w:ascii="Arial" w:hAnsi="Arial" w:cs="Arial"/>
        </w:rPr>
      </w:pPr>
    </w:p>
    <w:p w14:paraId="522E7288" w14:textId="16AA636B" w:rsidR="000B77B2" w:rsidRPr="00CD3131" w:rsidRDefault="003A1AB3">
      <w:pPr>
        <w:rPr>
          <w:rFonts w:ascii="Arial" w:hAnsi="Arial" w:cs="Arial"/>
          <w:b/>
          <w:bCs/>
        </w:rPr>
      </w:pPr>
      <w:r w:rsidRPr="00CD3131">
        <w:rPr>
          <w:rFonts w:ascii="Arial" w:hAnsi="Arial" w:cs="Arial"/>
          <w:b/>
          <w:bCs/>
        </w:rPr>
        <w:t>Get Educated</w:t>
      </w:r>
    </w:p>
    <w:p w14:paraId="794EAE27" w14:textId="2D1FBFBD" w:rsidR="00CF3D85" w:rsidRPr="006C2FF2" w:rsidRDefault="00F46EC1" w:rsidP="00CF3D85">
      <w:pPr>
        <w:pStyle w:val="ListParagraph"/>
        <w:numPr>
          <w:ilvl w:val="0"/>
          <w:numId w:val="1"/>
        </w:numPr>
        <w:rPr>
          <w:rFonts w:ascii="Arial" w:hAnsi="Arial" w:cs="Arial"/>
        </w:rPr>
      </w:pPr>
      <w:r>
        <w:rPr>
          <w:rFonts w:ascii="Arial" w:hAnsi="Arial" w:cs="Arial"/>
        </w:rPr>
        <w:t>Foo</w:t>
      </w:r>
      <w:r w:rsidR="009740D3">
        <w:rPr>
          <w:rFonts w:ascii="Arial" w:hAnsi="Arial" w:cs="Arial"/>
        </w:rPr>
        <w:t>d Re</w:t>
      </w:r>
      <w:r w:rsidR="0010544B">
        <w:rPr>
          <w:rFonts w:ascii="Arial" w:hAnsi="Arial" w:cs="Arial"/>
        </w:rPr>
        <w:t>search C</w:t>
      </w:r>
      <w:r w:rsidR="00357990">
        <w:rPr>
          <w:rFonts w:ascii="Arial" w:hAnsi="Arial" w:cs="Arial"/>
        </w:rPr>
        <w:t>all to Acti</w:t>
      </w:r>
      <w:r w:rsidR="00735B2D">
        <w:rPr>
          <w:rFonts w:ascii="Arial" w:hAnsi="Arial" w:cs="Arial"/>
        </w:rPr>
        <w:t>on on Fu</w:t>
      </w:r>
      <w:r w:rsidR="009B14E7">
        <w:rPr>
          <w:rFonts w:ascii="Arial" w:hAnsi="Arial" w:cs="Arial"/>
        </w:rPr>
        <w:t>n</w:t>
      </w:r>
      <w:r w:rsidR="00F27FBB">
        <w:rPr>
          <w:rFonts w:ascii="Arial" w:hAnsi="Arial" w:cs="Arial"/>
        </w:rPr>
        <w:t xml:space="preserve">ding </w:t>
      </w:r>
      <w:r w:rsidR="003A7577">
        <w:rPr>
          <w:rFonts w:ascii="Arial" w:hAnsi="Arial" w:cs="Arial"/>
        </w:rPr>
        <w:t>and Pri</w:t>
      </w:r>
      <w:r w:rsidR="007D34C0">
        <w:rPr>
          <w:rFonts w:ascii="Arial" w:hAnsi="Arial" w:cs="Arial"/>
        </w:rPr>
        <w:t xml:space="preserve">orities </w:t>
      </w:r>
      <w:r w:rsidR="00162A4C" w:rsidRPr="00CD3131">
        <w:rPr>
          <w:rFonts w:ascii="Arial" w:hAnsi="Arial" w:cs="Arial"/>
        </w:rPr>
        <w:t>—</w:t>
      </w:r>
      <w:r w:rsidR="00D1689E">
        <w:rPr>
          <w:rFonts w:ascii="Arial" w:hAnsi="Arial" w:cs="Arial"/>
        </w:rPr>
        <w:t xml:space="preserve"> </w:t>
      </w:r>
      <w:hyperlink r:id="rId8" w:history="1">
        <w:r w:rsidR="00CF3D85" w:rsidRPr="00CF3D85">
          <w:rPr>
            <w:rStyle w:val="Hyperlink"/>
            <w:rFonts w:ascii="Arial" w:hAnsi="Arial" w:cs="Arial"/>
          </w:rPr>
          <w:t>food-research-call-to-action-on-funding-and-priorities.pdf</w:t>
        </w:r>
      </w:hyperlink>
    </w:p>
    <w:p w14:paraId="1B6D4B31" w14:textId="5D1FDCC1" w:rsidR="003A1AB3" w:rsidRPr="00CD3131" w:rsidRDefault="003A1AB3" w:rsidP="006C2FF2">
      <w:pPr>
        <w:pStyle w:val="ListParagraph"/>
        <w:numPr>
          <w:ilvl w:val="0"/>
          <w:numId w:val="1"/>
        </w:numPr>
        <w:rPr>
          <w:rFonts w:ascii="Arial" w:hAnsi="Arial" w:cs="Arial"/>
        </w:rPr>
      </w:pPr>
      <w:r w:rsidRPr="00CD3131">
        <w:rPr>
          <w:rFonts w:ascii="Arial" w:hAnsi="Arial" w:cs="Arial"/>
        </w:rPr>
        <w:t xml:space="preserve">The Scholarly Kitchen guest post on federal grants guidance and scholarly societies — </w:t>
      </w:r>
      <w:hyperlink r:id="rId9" w:history="1">
        <w:r w:rsidRPr="00CD3131">
          <w:rPr>
            <w:rStyle w:val="Hyperlink"/>
            <w:rFonts w:ascii="Arial" w:hAnsi="Arial" w:cs="Arial"/>
          </w:rPr>
          <w:t>https://scholarlykitchen.sspnet.org/2026/06/15/guest-post-the-us-governments-new-guidance-for-federal-grants-and-the-case-for-scholarly-societies/</w:t>
        </w:r>
      </w:hyperlink>
    </w:p>
    <w:p w14:paraId="6D023B2A" w14:textId="3F00A1FC" w:rsidR="00E064A7" w:rsidRDefault="00174B63" w:rsidP="003A1AB3">
      <w:pPr>
        <w:pStyle w:val="ListParagraph"/>
        <w:numPr>
          <w:ilvl w:val="0"/>
          <w:numId w:val="1"/>
        </w:numPr>
        <w:rPr>
          <w:rFonts w:ascii="Arial" w:hAnsi="Arial" w:cs="Arial"/>
        </w:rPr>
      </w:pPr>
      <w:r>
        <w:rPr>
          <w:rFonts w:ascii="Arial" w:hAnsi="Arial" w:cs="Arial"/>
        </w:rPr>
        <w:t>American Association for the Advancement of Science: “</w:t>
      </w:r>
      <w:r w:rsidR="00B055D0" w:rsidRPr="00CB2677">
        <w:rPr>
          <w:rFonts w:ascii="Arial" w:hAnsi="Arial" w:cs="Arial"/>
        </w:rPr>
        <w:t>Another red alert for American science | Science</w:t>
      </w:r>
      <w:r>
        <w:rPr>
          <w:rFonts w:ascii="Arial" w:hAnsi="Arial" w:cs="Arial"/>
        </w:rPr>
        <w:t>”</w:t>
      </w:r>
      <w:r w:rsidR="004C4ADF">
        <w:rPr>
          <w:rFonts w:ascii="Arial" w:hAnsi="Arial" w:cs="Arial"/>
        </w:rPr>
        <w:t xml:space="preserve"> </w:t>
      </w:r>
      <w:r w:rsidR="00B055D0" w:rsidRPr="00B055D0">
        <w:rPr>
          <w:rFonts w:ascii="Arial" w:hAnsi="Arial" w:cs="Arial"/>
        </w:rPr>
        <w:t>https://www.science.org/doi/10.1126/science.aej3572</w:t>
      </w:r>
    </w:p>
    <w:p w14:paraId="4AEA5092" w14:textId="20EE3209"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The Scholarly Kitchen series on China’s scholarly publishing system — https://scholarlykitchen.sspnet.org/2026/06/03/the-rise-of-chinas-scholarly-publishing-system-part-1-chinas-journal-ecosystem-is-accelerating/; </w:t>
      </w:r>
      <w:hyperlink r:id="rId10" w:history="1">
        <w:r w:rsidRPr="00CD3131">
          <w:rPr>
            <w:rStyle w:val="Hyperlink"/>
            <w:rFonts w:ascii="Arial" w:hAnsi="Arial" w:cs="Arial"/>
          </w:rPr>
          <w:t>https://scholarlykitchen.sspnet.org/2026/06/04/the-rise-of-chinas-scholarly-publishing-system-part-2-navigating-chinas-publishing-ambition-strategic-options-for-international-publishers/</w:t>
        </w:r>
      </w:hyperlink>
    </w:p>
    <w:p w14:paraId="1A21CC9B" w14:textId="4601D9C6"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The Conversation on China surpassing the U.S. in research spending and scientific output — </w:t>
      </w:r>
      <w:hyperlink r:id="rId11" w:history="1">
        <w:r w:rsidRPr="00CD3131">
          <w:rPr>
            <w:rStyle w:val="Hyperlink"/>
            <w:rFonts w:ascii="Arial" w:hAnsi="Arial" w:cs="Arial"/>
          </w:rPr>
          <w:t>https://theconversation.com/china-surpasses-us-in-research-spending-the-consequences-extend-far-beyond-scientific-ranking-and-clout-280543</w:t>
        </w:r>
      </w:hyperlink>
    </w:p>
    <w:p w14:paraId="1DB30870" w14:textId="0415B05D"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WIPO Global Innovation Index blog on global R&amp;D growth and the shift toward Asia — </w:t>
      </w:r>
      <w:hyperlink r:id="rId12" w:history="1">
        <w:r w:rsidRPr="00CD3131">
          <w:rPr>
            <w:rStyle w:val="Hyperlink"/>
            <w:rFonts w:ascii="Arial" w:hAnsi="Arial" w:cs="Arial"/>
          </w:rPr>
          <w:t>https://www.wipo.int/en/web/global-innovation-index/w/blogs/2025/end-of-year-edition</w:t>
        </w:r>
      </w:hyperlink>
    </w:p>
    <w:p w14:paraId="78577804" w14:textId="62E05173"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Nature Index on shifting global research output — </w:t>
      </w:r>
      <w:hyperlink r:id="rId13" w:history="1">
        <w:r w:rsidRPr="00CD3131">
          <w:rPr>
            <w:rStyle w:val="Hyperlink"/>
            <w:rFonts w:ascii="Arial" w:hAnsi="Arial" w:cs="Arial"/>
          </w:rPr>
          <w:t>https://www.nature.com/nature-index/news/nature-index-research-leaders-united-states-losing-ground-china-lead-expands-rapidly</w:t>
        </w:r>
      </w:hyperlink>
    </w:p>
    <w:p w14:paraId="4EA42EA8" w14:textId="0DDB8D57"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Federal News Network on OMB’s grants rewrite — </w:t>
      </w:r>
      <w:hyperlink r:id="rId14" w:history="1">
        <w:r w:rsidRPr="00CD3131">
          <w:rPr>
            <w:rStyle w:val="Hyperlink"/>
            <w:rFonts w:ascii="Arial" w:hAnsi="Arial" w:cs="Arial"/>
          </w:rPr>
          <w:t>https://federalnewsnetwork.com/financial-management/2026/06/the-3-goals-of-ombs-rewrite-of-grants-regulations/</w:t>
        </w:r>
      </w:hyperlink>
    </w:p>
    <w:p w14:paraId="0B9ED0F4" w14:textId="6C0464E6"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Governing on implications for state, local, and nonprofit recipients — </w:t>
      </w:r>
      <w:hyperlink r:id="rId15" w:history="1">
        <w:r w:rsidRPr="00CD3131">
          <w:rPr>
            <w:rStyle w:val="Hyperlink"/>
            <w:rFonts w:ascii="Arial" w:hAnsi="Arial" w:cs="Arial"/>
          </w:rPr>
          <w:t>https://www.governing.com/management-and-administration/big-changes-on-the-horizon-for-federal-grants</w:t>
        </w:r>
      </w:hyperlink>
    </w:p>
    <w:p w14:paraId="66C2E606" w14:textId="5CA37CA4"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NACo summary on the proposed overhaul of federal grant rules — </w:t>
      </w:r>
      <w:hyperlink r:id="rId16" w:history="1">
        <w:r w:rsidRPr="00CD3131">
          <w:rPr>
            <w:rStyle w:val="Hyperlink"/>
            <w:rFonts w:ascii="Arial" w:hAnsi="Arial" w:cs="Arial"/>
          </w:rPr>
          <w:t>https://www.naco.org/news/omb-proposes-major-overhaul-federal-grant-rules</w:t>
        </w:r>
      </w:hyperlink>
    </w:p>
    <w:p w14:paraId="5DFF55A9" w14:textId="09232639"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National Council of Nonprofits on impacts to nonprofit federal grant recipients — </w:t>
      </w:r>
      <w:hyperlink r:id="rId17" w:history="1">
        <w:r w:rsidRPr="00CD3131">
          <w:rPr>
            <w:rStyle w:val="Hyperlink"/>
            <w:rFonts w:ascii="Arial" w:hAnsi="Arial" w:cs="Arial"/>
          </w:rPr>
          <w:t>https://www.councilofnonprofits.org/pressreleases/office-management-and-budget-proposes-new-rules-govern-grantmaking-could-harm</w:t>
        </w:r>
      </w:hyperlink>
    </w:p>
    <w:p w14:paraId="27861A4C" w14:textId="083F04D1" w:rsidR="003A1AB3" w:rsidRPr="00CD3131" w:rsidRDefault="003A1AB3" w:rsidP="003A1AB3">
      <w:pPr>
        <w:pStyle w:val="ListParagraph"/>
        <w:numPr>
          <w:ilvl w:val="0"/>
          <w:numId w:val="1"/>
        </w:numPr>
        <w:rPr>
          <w:rFonts w:ascii="Arial" w:hAnsi="Arial" w:cs="Arial"/>
        </w:rPr>
      </w:pPr>
      <w:r w:rsidRPr="00CD3131">
        <w:rPr>
          <w:rFonts w:ascii="Arial" w:hAnsi="Arial" w:cs="Arial"/>
        </w:rPr>
        <w:t xml:space="preserve">Federal Register proposed rule and Regulations.gov docket OMB-2026-0034 — https://www.federalregister.gov/documents/2026/05/29/2026-10817/regulation-for-federal-financial-assistance; </w:t>
      </w:r>
      <w:hyperlink r:id="rId18" w:history="1">
        <w:r w:rsidRPr="00CD3131">
          <w:rPr>
            <w:rStyle w:val="Hyperlink"/>
            <w:rFonts w:ascii="Arial" w:hAnsi="Arial" w:cs="Arial"/>
          </w:rPr>
          <w:t>https://www.regulations.gov/docket/OMB-2026-0034</w:t>
        </w:r>
      </w:hyperlink>
    </w:p>
    <w:p w14:paraId="517B664C" w14:textId="77777777" w:rsidR="003A1AB3" w:rsidRPr="003A1AB3" w:rsidRDefault="003A1AB3" w:rsidP="003A1AB3">
      <w:pPr>
        <w:pStyle w:val="ListParagraph"/>
        <w:rPr>
          <w:rFonts w:ascii="Arial" w:hAnsi="Arial" w:cs="Arial"/>
        </w:rPr>
      </w:pPr>
    </w:p>
    <w:p w14:paraId="44ABA6A0" w14:textId="77777777" w:rsidR="000B77B2" w:rsidRDefault="000B77B2">
      <w:pPr>
        <w:rPr>
          <w:rFonts w:ascii="Arial" w:hAnsi="Arial" w:cs="Arial"/>
        </w:rPr>
      </w:pPr>
    </w:p>
    <w:p w14:paraId="6EA2021B" w14:textId="77777777" w:rsidR="000B77B2" w:rsidRDefault="000B77B2">
      <w:pPr>
        <w:rPr>
          <w:rFonts w:ascii="Arial" w:hAnsi="Arial" w:cs="Arial"/>
        </w:rPr>
      </w:pPr>
    </w:p>
    <w:p w14:paraId="6B8F570C" w14:textId="77777777" w:rsidR="000B77B2" w:rsidRDefault="000B77B2">
      <w:pPr>
        <w:rPr>
          <w:rFonts w:ascii="Arial" w:hAnsi="Arial" w:cs="Arial"/>
        </w:rPr>
      </w:pPr>
    </w:p>
    <w:p w14:paraId="4D3E22ED" w14:textId="77777777" w:rsidR="000B77B2" w:rsidRDefault="000B77B2">
      <w:pPr>
        <w:rPr>
          <w:rFonts w:ascii="Arial" w:hAnsi="Arial" w:cs="Arial"/>
        </w:rPr>
      </w:pPr>
    </w:p>
    <w:p w14:paraId="0AC9D701" w14:textId="77777777" w:rsidR="000B77B2" w:rsidRDefault="000B77B2">
      <w:pPr>
        <w:rPr>
          <w:rFonts w:ascii="Arial" w:hAnsi="Arial" w:cs="Arial"/>
        </w:rPr>
      </w:pPr>
    </w:p>
    <w:p w14:paraId="3B9BF547" w14:textId="77777777" w:rsidR="000B77B2" w:rsidRDefault="000B77B2">
      <w:pPr>
        <w:rPr>
          <w:rFonts w:ascii="Arial" w:hAnsi="Arial" w:cs="Arial"/>
        </w:rPr>
      </w:pPr>
    </w:p>
    <w:p w14:paraId="2CD1D00A" w14:textId="77777777" w:rsidR="000B77B2" w:rsidRDefault="000B77B2">
      <w:pPr>
        <w:rPr>
          <w:rFonts w:ascii="Arial" w:hAnsi="Arial" w:cs="Arial"/>
        </w:rPr>
      </w:pPr>
    </w:p>
    <w:p w14:paraId="57985B79" w14:textId="77777777" w:rsidR="000B77B2" w:rsidRDefault="000B77B2">
      <w:pPr>
        <w:rPr>
          <w:rFonts w:ascii="Arial" w:hAnsi="Arial" w:cs="Arial"/>
        </w:rPr>
      </w:pPr>
    </w:p>
    <w:p w14:paraId="37826E81" w14:textId="77777777" w:rsidR="000B77B2" w:rsidRDefault="000B77B2">
      <w:pPr>
        <w:rPr>
          <w:rFonts w:ascii="Arial" w:hAnsi="Arial" w:cs="Arial"/>
        </w:rPr>
      </w:pPr>
    </w:p>
    <w:p w14:paraId="2D4B3615" w14:textId="77777777" w:rsidR="000B77B2" w:rsidRDefault="000B77B2">
      <w:pPr>
        <w:rPr>
          <w:rFonts w:ascii="Arial" w:hAnsi="Arial" w:cs="Arial"/>
        </w:rPr>
      </w:pPr>
    </w:p>
    <w:p w14:paraId="3154CF06" w14:textId="77777777" w:rsidR="000B77B2" w:rsidRPr="000B77B2" w:rsidRDefault="000B77B2">
      <w:pPr>
        <w:rPr>
          <w:rFonts w:ascii="Arial" w:hAnsi="Arial" w:cs="Arial"/>
        </w:rPr>
      </w:pPr>
    </w:p>
    <w:sectPr w:rsidR="000B77B2" w:rsidRPr="000B7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4F5F"/>
    <w:multiLevelType w:val="hybridMultilevel"/>
    <w:tmpl w:val="94702696"/>
    <w:lvl w:ilvl="0" w:tplc="8870AB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98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B2"/>
    <w:rsid w:val="00017CB7"/>
    <w:rsid w:val="0002144A"/>
    <w:rsid w:val="0004043E"/>
    <w:rsid w:val="00051384"/>
    <w:rsid w:val="000609D2"/>
    <w:rsid w:val="00067FCA"/>
    <w:rsid w:val="00080988"/>
    <w:rsid w:val="000B77B2"/>
    <w:rsid w:val="000E0DC7"/>
    <w:rsid w:val="001004F5"/>
    <w:rsid w:val="0010544B"/>
    <w:rsid w:val="001216CE"/>
    <w:rsid w:val="00162A4C"/>
    <w:rsid w:val="00174B63"/>
    <w:rsid w:val="00196F63"/>
    <w:rsid w:val="001A16E5"/>
    <w:rsid w:val="001A4FFA"/>
    <w:rsid w:val="001B5AC2"/>
    <w:rsid w:val="001D707E"/>
    <w:rsid w:val="001E3723"/>
    <w:rsid w:val="001F1B84"/>
    <w:rsid w:val="001F6B93"/>
    <w:rsid w:val="001F72C6"/>
    <w:rsid w:val="00222828"/>
    <w:rsid w:val="00224EEE"/>
    <w:rsid w:val="00234368"/>
    <w:rsid w:val="00234766"/>
    <w:rsid w:val="0027315A"/>
    <w:rsid w:val="00276B98"/>
    <w:rsid w:val="002A3624"/>
    <w:rsid w:val="00313922"/>
    <w:rsid w:val="0032396E"/>
    <w:rsid w:val="00325732"/>
    <w:rsid w:val="00336AC6"/>
    <w:rsid w:val="00357990"/>
    <w:rsid w:val="00373E1B"/>
    <w:rsid w:val="003A1AB3"/>
    <w:rsid w:val="003A57FB"/>
    <w:rsid w:val="003A7577"/>
    <w:rsid w:val="003C1F90"/>
    <w:rsid w:val="003E771D"/>
    <w:rsid w:val="003F212B"/>
    <w:rsid w:val="003F5F6C"/>
    <w:rsid w:val="003F756A"/>
    <w:rsid w:val="004161E7"/>
    <w:rsid w:val="004260EC"/>
    <w:rsid w:val="00476842"/>
    <w:rsid w:val="004832F4"/>
    <w:rsid w:val="00496B77"/>
    <w:rsid w:val="004C4ADF"/>
    <w:rsid w:val="004F3EA3"/>
    <w:rsid w:val="00500EE9"/>
    <w:rsid w:val="00505A07"/>
    <w:rsid w:val="005157FE"/>
    <w:rsid w:val="005172FA"/>
    <w:rsid w:val="005821F9"/>
    <w:rsid w:val="00582C81"/>
    <w:rsid w:val="00585385"/>
    <w:rsid w:val="005945CC"/>
    <w:rsid w:val="005A2FFD"/>
    <w:rsid w:val="005C16AC"/>
    <w:rsid w:val="005C4C5A"/>
    <w:rsid w:val="005D2491"/>
    <w:rsid w:val="005D3518"/>
    <w:rsid w:val="00604B67"/>
    <w:rsid w:val="0060765B"/>
    <w:rsid w:val="00613847"/>
    <w:rsid w:val="00636D02"/>
    <w:rsid w:val="006413F2"/>
    <w:rsid w:val="006569FD"/>
    <w:rsid w:val="00665F11"/>
    <w:rsid w:val="006C2FF2"/>
    <w:rsid w:val="006D37B6"/>
    <w:rsid w:val="00735B2D"/>
    <w:rsid w:val="007360A4"/>
    <w:rsid w:val="00746A1B"/>
    <w:rsid w:val="007505D2"/>
    <w:rsid w:val="00753876"/>
    <w:rsid w:val="00771155"/>
    <w:rsid w:val="00775EDB"/>
    <w:rsid w:val="00786244"/>
    <w:rsid w:val="007907CD"/>
    <w:rsid w:val="007A1604"/>
    <w:rsid w:val="007B2A19"/>
    <w:rsid w:val="007D34C0"/>
    <w:rsid w:val="007F4976"/>
    <w:rsid w:val="007F79FC"/>
    <w:rsid w:val="008047E5"/>
    <w:rsid w:val="00831C16"/>
    <w:rsid w:val="00840419"/>
    <w:rsid w:val="00853A07"/>
    <w:rsid w:val="00865EE1"/>
    <w:rsid w:val="00881ED8"/>
    <w:rsid w:val="0088468F"/>
    <w:rsid w:val="008A3D88"/>
    <w:rsid w:val="008C1AB1"/>
    <w:rsid w:val="008D165F"/>
    <w:rsid w:val="008E2B22"/>
    <w:rsid w:val="008E41F2"/>
    <w:rsid w:val="008E5736"/>
    <w:rsid w:val="008F64DD"/>
    <w:rsid w:val="00943B35"/>
    <w:rsid w:val="00953F8A"/>
    <w:rsid w:val="0095665B"/>
    <w:rsid w:val="00962CB7"/>
    <w:rsid w:val="009736F5"/>
    <w:rsid w:val="009740D3"/>
    <w:rsid w:val="0099332E"/>
    <w:rsid w:val="00997A18"/>
    <w:rsid w:val="009B14E7"/>
    <w:rsid w:val="009E5FA6"/>
    <w:rsid w:val="009F0E38"/>
    <w:rsid w:val="00A000F9"/>
    <w:rsid w:val="00A13324"/>
    <w:rsid w:val="00A25020"/>
    <w:rsid w:val="00A34B9C"/>
    <w:rsid w:val="00A367EC"/>
    <w:rsid w:val="00A46677"/>
    <w:rsid w:val="00A526F6"/>
    <w:rsid w:val="00A55193"/>
    <w:rsid w:val="00AA1E33"/>
    <w:rsid w:val="00AB794F"/>
    <w:rsid w:val="00AD7DCB"/>
    <w:rsid w:val="00B055D0"/>
    <w:rsid w:val="00B05FC1"/>
    <w:rsid w:val="00B102B7"/>
    <w:rsid w:val="00B31C73"/>
    <w:rsid w:val="00B32651"/>
    <w:rsid w:val="00B402BE"/>
    <w:rsid w:val="00B4078D"/>
    <w:rsid w:val="00B91D85"/>
    <w:rsid w:val="00B933BF"/>
    <w:rsid w:val="00BA115C"/>
    <w:rsid w:val="00BD31B3"/>
    <w:rsid w:val="00BD3D46"/>
    <w:rsid w:val="00BE2F0B"/>
    <w:rsid w:val="00C15C00"/>
    <w:rsid w:val="00C74D2D"/>
    <w:rsid w:val="00C8180E"/>
    <w:rsid w:val="00C82E4A"/>
    <w:rsid w:val="00C86FCA"/>
    <w:rsid w:val="00C87759"/>
    <w:rsid w:val="00C95CA2"/>
    <w:rsid w:val="00CB2677"/>
    <w:rsid w:val="00CD191E"/>
    <w:rsid w:val="00CD3131"/>
    <w:rsid w:val="00CD4936"/>
    <w:rsid w:val="00CD728D"/>
    <w:rsid w:val="00CF3D85"/>
    <w:rsid w:val="00D05ED9"/>
    <w:rsid w:val="00D1689E"/>
    <w:rsid w:val="00D70E7E"/>
    <w:rsid w:val="00D93888"/>
    <w:rsid w:val="00D96D43"/>
    <w:rsid w:val="00DA0D05"/>
    <w:rsid w:val="00DA4B4A"/>
    <w:rsid w:val="00DA6956"/>
    <w:rsid w:val="00DC3568"/>
    <w:rsid w:val="00DC5FD0"/>
    <w:rsid w:val="00DD200F"/>
    <w:rsid w:val="00DD257A"/>
    <w:rsid w:val="00E03818"/>
    <w:rsid w:val="00E064A7"/>
    <w:rsid w:val="00E12C4E"/>
    <w:rsid w:val="00E2067B"/>
    <w:rsid w:val="00E55716"/>
    <w:rsid w:val="00E6434E"/>
    <w:rsid w:val="00E72305"/>
    <w:rsid w:val="00E72801"/>
    <w:rsid w:val="00E83893"/>
    <w:rsid w:val="00EA5D26"/>
    <w:rsid w:val="00EB77D2"/>
    <w:rsid w:val="00EC2AA6"/>
    <w:rsid w:val="00EE11C6"/>
    <w:rsid w:val="00EE6186"/>
    <w:rsid w:val="00EF74FF"/>
    <w:rsid w:val="00F04D05"/>
    <w:rsid w:val="00F05174"/>
    <w:rsid w:val="00F1238D"/>
    <w:rsid w:val="00F25517"/>
    <w:rsid w:val="00F260FD"/>
    <w:rsid w:val="00F27C0C"/>
    <w:rsid w:val="00F27FBB"/>
    <w:rsid w:val="00F46EC1"/>
    <w:rsid w:val="00F5753F"/>
    <w:rsid w:val="00F6533C"/>
    <w:rsid w:val="00F92D02"/>
    <w:rsid w:val="00FA66AD"/>
    <w:rsid w:val="00FB4BF6"/>
    <w:rsid w:val="00FE4B1A"/>
    <w:rsid w:val="274B0F9A"/>
    <w:rsid w:val="27FF6402"/>
    <w:rsid w:val="53C8A8E8"/>
    <w:rsid w:val="75B4D7E3"/>
    <w:rsid w:val="7CC364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06B7"/>
  <w15:chartTrackingRefBased/>
  <w15:docId w15:val="{918A66D6-39B0-4991-936F-9EE88347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7B2"/>
    <w:rPr>
      <w:rFonts w:eastAsiaTheme="majorEastAsia" w:cstheme="majorBidi"/>
      <w:color w:val="272727" w:themeColor="text1" w:themeTint="D8"/>
    </w:rPr>
  </w:style>
  <w:style w:type="paragraph" w:styleId="Title">
    <w:name w:val="Title"/>
    <w:basedOn w:val="Normal"/>
    <w:next w:val="Normal"/>
    <w:link w:val="TitleChar"/>
    <w:uiPriority w:val="10"/>
    <w:qFormat/>
    <w:rsid w:val="000B7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7B2"/>
    <w:pPr>
      <w:spacing w:before="160"/>
      <w:jc w:val="center"/>
    </w:pPr>
    <w:rPr>
      <w:i/>
      <w:iCs/>
      <w:color w:val="404040" w:themeColor="text1" w:themeTint="BF"/>
    </w:rPr>
  </w:style>
  <w:style w:type="character" w:customStyle="1" w:styleId="QuoteChar">
    <w:name w:val="Quote Char"/>
    <w:basedOn w:val="DefaultParagraphFont"/>
    <w:link w:val="Quote"/>
    <w:uiPriority w:val="29"/>
    <w:rsid w:val="000B77B2"/>
    <w:rPr>
      <w:i/>
      <w:iCs/>
      <w:color w:val="404040" w:themeColor="text1" w:themeTint="BF"/>
    </w:rPr>
  </w:style>
  <w:style w:type="paragraph" w:styleId="ListParagraph">
    <w:name w:val="List Paragraph"/>
    <w:basedOn w:val="Normal"/>
    <w:uiPriority w:val="34"/>
    <w:qFormat/>
    <w:rsid w:val="000B77B2"/>
    <w:pPr>
      <w:ind w:left="720"/>
      <w:contextualSpacing/>
    </w:pPr>
  </w:style>
  <w:style w:type="character" w:styleId="IntenseEmphasis">
    <w:name w:val="Intense Emphasis"/>
    <w:basedOn w:val="DefaultParagraphFont"/>
    <w:uiPriority w:val="21"/>
    <w:qFormat/>
    <w:rsid w:val="000B77B2"/>
    <w:rPr>
      <w:i/>
      <w:iCs/>
      <w:color w:val="0F4761" w:themeColor="accent1" w:themeShade="BF"/>
    </w:rPr>
  </w:style>
  <w:style w:type="paragraph" w:styleId="IntenseQuote">
    <w:name w:val="Intense Quote"/>
    <w:basedOn w:val="Normal"/>
    <w:next w:val="Normal"/>
    <w:link w:val="IntenseQuoteChar"/>
    <w:uiPriority w:val="30"/>
    <w:qFormat/>
    <w:rsid w:val="000B7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7B2"/>
    <w:rPr>
      <w:i/>
      <w:iCs/>
      <w:color w:val="0F4761" w:themeColor="accent1" w:themeShade="BF"/>
    </w:rPr>
  </w:style>
  <w:style w:type="character" w:styleId="IntenseReference">
    <w:name w:val="Intense Reference"/>
    <w:basedOn w:val="DefaultParagraphFont"/>
    <w:uiPriority w:val="32"/>
    <w:qFormat/>
    <w:rsid w:val="000B77B2"/>
    <w:rPr>
      <w:b/>
      <w:bCs/>
      <w:smallCaps/>
      <w:color w:val="0F4761" w:themeColor="accent1" w:themeShade="BF"/>
      <w:spacing w:val="5"/>
    </w:rPr>
  </w:style>
  <w:style w:type="character" w:styleId="Hyperlink">
    <w:name w:val="Hyperlink"/>
    <w:basedOn w:val="DefaultParagraphFont"/>
    <w:uiPriority w:val="99"/>
    <w:unhideWhenUsed/>
    <w:rsid w:val="003A1AB3"/>
    <w:rPr>
      <w:color w:val="467886" w:themeColor="hyperlink"/>
      <w:u w:val="single"/>
    </w:rPr>
  </w:style>
  <w:style w:type="character" w:styleId="UnresolvedMention">
    <w:name w:val="Unresolved Mention"/>
    <w:basedOn w:val="DefaultParagraphFont"/>
    <w:uiPriority w:val="99"/>
    <w:semiHidden/>
    <w:unhideWhenUsed/>
    <w:rsid w:val="003A1AB3"/>
    <w:rPr>
      <w:color w:val="605E5C"/>
      <w:shd w:val="clear" w:color="auto" w:fill="E1DFDD"/>
    </w:rPr>
  </w:style>
  <w:style w:type="paragraph" w:styleId="CommentText">
    <w:name w:val="annotation text"/>
    <w:basedOn w:val="Normal"/>
    <w:link w:val="CommentTextChar"/>
    <w:uiPriority w:val="99"/>
    <w:unhideWhenUsed/>
    <w:rsid w:val="001D707E"/>
    <w:pPr>
      <w:spacing w:line="240" w:lineRule="auto"/>
    </w:pPr>
    <w:rPr>
      <w:sz w:val="20"/>
      <w:szCs w:val="20"/>
    </w:rPr>
  </w:style>
  <w:style w:type="character" w:customStyle="1" w:styleId="CommentTextChar">
    <w:name w:val="Comment Text Char"/>
    <w:basedOn w:val="DefaultParagraphFont"/>
    <w:link w:val="CommentText"/>
    <w:uiPriority w:val="99"/>
    <w:rsid w:val="001D707E"/>
    <w:rPr>
      <w:sz w:val="20"/>
      <w:szCs w:val="20"/>
    </w:rPr>
  </w:style>
  <w:style w:type="character" w:styleId="CommentReference">
    <w:name w:val="annotation reference"/>
    <w:basedOn w:val="DefaultParagraphFont"/>
    <w:uiPriority w:val="99"/>
    <w:semiHidden/>
    <w:unhideWhenUsed/>
    <w:rsid w:val="001D707E"/>
    <w:rPr>
      <w:sz w:val="16"/>
      <w:szCs w:val="16"/>
    </w:rPr>
  </w:style>
  <w:style w:type="paragraph" w:styleId="CommentSubject">
    <w:name w:val="annotation subject"/>
    <w:basedOn w:val="CommentText"/>
    <w:next w:val="CommentText"/>
    <w:link w:val="CommentSubjectChar"/>
    <w:uiPriority w:val="99"/>
    <w:semiHidden/>
    <w:unhideWhenUsed/>
    <w:rsid w:val="00FA66AD"/>
    <w:rPr>
      <w:b/>
      <w:bCs/>
    </w:rPr>
  </w:style>
  <w:style w:type="character" w:customStyle="1" w:styleId="CommentSubjectChar">
    <w:name w:val="Comment Subject Char"/>
    <w:basedOn w:val="CommentTextChar"/>
    <w:link w:val="CommentSubject"/>
    <w:uiPriority w:val="99"/>
    <w:semiHidden/>
    <w:rsid w:val="00FA66AD"/>
    <w:rPr>
      <w:b/>
      <w:bCs/>
      <w:sz w:val="20"/>
      <w:szCs w:val="20"/>
    </w:rPr>
  </w:style>
  <w:style w:type="paragraph" w:styleId="Revision">
    <w:name w:val="Revision"/>
    <w:hidden/>
    <w:uiPriority w:val="99"/>
    <w:semiHidden/>
    <w:rsid w:val="00BD31B3"/>
    <w:pPr>
      <w:spacing w:after="0" w:line="240" w:lineRule="auto"/>
    </w:pPr>
  </w:style>
  <w:style w:type="character" w:styleId="FollowedHyperlink">
    <w:name w:val="FollowedHyperlink"/>
    <w:basedOn w:val="DefaultParagraphFont"/>
    <w:uiPriority w:val="99"/>
    <w:semiHidden/>
    <w:unhideWhenUsed/>
    <w:rsid w:val="004C4A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t.org/siteassets/1-page-sections-media-blocks/4-policy-and-advocacy/docs/information-and-resources/food-research-call-to-action-on-funding-and-priorities.pdf" TargetMode="External"/><Relationship Id="rId13" Type="http://schemas.openxmlformats.org/officeDocument/2006/relationships/hyperlink" Target="https://www.nature.com/nature-index/news/nature-index-research-leaders-united-states-losing-ground-china-lead-expands-rapidly" TargetMode="External"/><Relationship Id="rId18" Type="http://schemas.openxmlformats.org/officeDocument/2006/relationships/hyperlink" Target="https://www.regulations.gov/docket/OMB-2026-0034" TargetMode="External"/><Relationship Id="rId3" Type="http://schemas.openxmlformats.org/officeDocument/2006/relationships/settings" Target="settings.xml"/><Relationship Id="rId7" Type="http://schemas.openxmlformats.org/officeDocument/2006/relationships/hyperlink" Target="https://www.federalregister.gov/documents/2026/05/29/2026-10817/regulation-for-federal-financial-assistance" TargetMode="External"/><Relationship Id="rId12" Type="http://schemas.openxmlformats.org/officeDocument/2006/relationships/hyperlink" Target="https://www.wipo.int/en/web/global-innovation-index/w/blogs/2025/end-of-year-edition" TargetMode="External"/><Relationship Id="rId17" Type="http://schemas.openxmlformats.org/officeDocument/2006/relationships/hyperlink" Target="https://www.councilofnonprofits.org/pressreleases/office-management-and-budget-proposes-new-rules-govern-grantmaking-could-harm" TargetMode="External"/><Relationship Id="rId2" Type="http://schemas.openxmlformats.org/officeDocument/2006/relationships/styles" Target="styles.xml"/><Relationship Id="rId16" Type="http://schemas.openxmlformats.org/officeDocument/2006/relationships/hyperlink" Target="https://www.naco.org/news/omb-proposes-major-overhaul-federal-grant-rul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ederalregister.gov/documents/2026/05/29/2026-10817/regulation-for-federal-financial-assistance" TargetMode="External"/><Relationship Id="rId11" Type="http://schemas.openxmlformats.org/officeDocument/2006/relationships/hyperlink" Target="https://theconversation.com/china-surpasses-us-in-research-spending-the-consequences-extend-far-beyond-scientific-ranking-and-clout-280543" TargetMode="External"/><Relationship Id="rId5" Type="http://schemas.openxmlformats.org/officeDocument/2006/relationships/image" Target="media/image1.jpeg"/><Relationship Id="rId15" Type="http://schemas.openxmlformats.org/officeDocument/2006/relationships/hyperlink" Target="https://www.governing.com/management-and-administration/big-changes-on-the-horizon-for-federal-grants" TargetMode="External"/><Relationship Id="rId10" Type="http://schemas.openxmlformats.org/officeDocument/2006/relationships/hyperlink" Target="https://scholarlykitchen.sspnet.org/2026/06/04/the-rise-of-chinas-scholarly-publishing-system-part-2-navigating-chinas-publishing-ambition-strategic-options-for-international-publish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lykitchen.sspnet.org/2026/06/15/guest-post-the-us-governments-new-guidance-for-federal-grants-and-the-case-for-scholarly-societies/" TargetMode="External"/><Relationship Id="rId14" Type="http://schemas.openxmlformats.org/officeDocument/2006/relationships/hyperlink" Target="https://federalnewsnetwork.com/financial-management/2026/06/the-3-goals-of-ombs-rewrite-of-grants-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940</TotalTime>
  <Pages>1</Pages>
  <Words>1383</Words>
  <Characters>7888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Links>
    <vt:vector size="78" baseType="variant">
      <vt:variant>
        <vt:i4>262216</vt:i4>
      </vt:variant>
      <vt:variant>
        <vt:i4>36</vt:i4>
      </vt:variant>
      <vt:variant>
        <vt:i4>0</vt:i4>
      </vt:variant>
      <vt:variant>
        <vt:i4>5</vt:i4>
      </vt:variant>
      <vt:variant>
        <vt:lpwstr>https://www.regulations.gov/docket/OMB-2026-0034</vt:lpwstr>
      </vt:variant>
      <vt:variant>
        <vt:lpwstr/>
      </vt:variant>
      <vt:variant>
        <vt:i4>3211373</vt:i4>
      </vt:variant>
      <vt:variant>
        <vt:i4>33</vt:i4>
      </vt:variant>
      <vt:variant>
        <vt:i4>0</vt:i4>
      </vt:variant>
      <vt:variant>
        <vt:i4>5</vt:i4>
      </vt:variant>
      <vt:variant>
        <vt:lpwstr>https://www.councilofnonprofits.org/pressreleases/office-management-and-budget-proposes-new-rules-govern-grantmaking-could-harm</vt:lpwstr>
      </vt:variant>
      <vt:variant>
        <vt:lpwstr/>
      </vt:variant>
      <vt:variant>
        <vt:i4>1572935</vt:i4>
      </vt:variant>
      <vt:variant>
        <vt:i4>30</vt:i4>
      </vt:variant>
      <vt:variant>
        <vt:i4>0</vt:i4>
      </vt:variant>
      <vt:variant>
        <vt:i4>5</vt:i4>
      </vt:variant>
      <vt:variant>
        <vt:lpwstr>https://www.naco.org/news/omb-proposes-major-overhaul-federal-grant-rules</vt:lpwstr>
      </vt:variant>
      <vt:variant>
        <vt:lpwstr/>
      </vt:variant>
      <vt:variant>
        <vt:i4>720926</vt:i4>
      </vt:variant>
      <vt:variant>
        <vt:i4>27</vt:i4>
      </vt:variant>
      <vt:variant>
        <vt:i4>0</vt:i4>
      </vt:variant>
      <vt:variant>
        <vt:i4>5</vt:i4>
      </vt:variant>
      <vt:variant>
        <vt:lpwstr>https://www.governing.com/management-and-administration/big-changes-on-the-horizon-for-federal-grants</vt:lpwstr>
      </vt:variant>
      <vt:variant>
        <vt:lpwstr/>
      </vt:variant>
      <vt:variant>
        <vt:i4>6619184</vt:i4>
      </vt:variant>
      <vt:variant>
        <vt:i4>24</vt:i4>
      </vt:variant>
      <vt:variant>
        <vt:i4>0</vt:i4>
      </vt:variant>
      <vt:variant>
        <vt:i4>5</vt:i4>
      </vt:variant>
      <vt:variant>
        <vt:lpwstr>https://federalnewsnetwork.com/financial-management/2026/06/the-3-goals-of-ombs-rewrite-of-grants-regulations/</vt:lpwstr>
      </vt:variant>
      <vt:variant>
        <vt:lpwstr/>
      </vt:variant>
      <vt:variant>
        <vt:i4>4522058</vt:i4>
      </vt:variant>
      <vt:variant>
        <vt:i4>21</vt:i4>
      </vt:variant>
      <vt:variant>
        <vt:i4>0</vt:i4>
      </vt:variant>
      <vt:variant>
        <vt:i4>5</vt:i4>
      </vt:variant>
      <vt:variant>
        <vt:lpwstr>https://www.nature.com/nature-index/news/nature-index-research-leaders-united-states-losing-ground-china-lead-expands-rapidly</vt:lpwstr>
      </vt:variant>
      <vt:variant>
        <vt:lpwstr/>
      </vt:variant>
      <vt:variant>
        <vt:i4>196684</vt:i4>
      </vt:variant>
      <vt:variant>
        <vt:i4>18</vt:i4>
      </vt:variant>
      <vt:variant>
        <vt:i4>0</vt:i4>
      </vt:variant>
      <vt:variant>
        <vt:i4>5</vt:i4>
      </vt:variant>
      <vt:variant>
        <vt:lpwstr>https://www.wipo.int/en/web/global-innovation-index/w/blogs/2025/end-of-year-edition</vt:lpwstr>
      </vt:variant>
      <vt:variant>
        <vt:lpwstr/>
      </vt:variant>
      <vt:variant>
        <vt:i4>6946912</vt:i4>
      </vt:variant>
      <vt:variant>
        <vt:i4>15</vt:i4>
      </vt:variant>
      <vt:variant>
        <vt:i4>0</vt:i4>
      </vt:variant>
      <vt:variant>
        <vt:i4>5</vt:i4>
      </vt:variant>
      <vt:variant>
        <vt:lpwstr>https://theconversation.com/china-surpasses-us-in-research-spending-the-consequences-extend-far-beyond-scientific-ranking-and-clout-280543</vt:lpwstr>
      </vt:variant>
      <vt:variant>
        <vt:lpwstr/>
      </vt:variant>
      <vt:variant>
        <vt:i4>2883640</vt:i4>
      </vt:variant>
      <vt:variant>
        <vt:i4>12</vt:i4>
      </vt:variant>
      <vt:variant>
        <vt:i4>0</vt:i4>
      </vt:variant>
      <vt:variant>
        <vt:i4>5</vt:i4>
      </vt:variant>
      <vt:variant>
        <vt:lpwstr>https://scholarlykitchen.sspnet.org/2026/06/04/the-rise-of-chinas-scholarly-publishing-system-part-2-navigating-chinas-publishing-ambition-strategic-options-for-international-publishers/</vt:lpwstr>
      </vt:variant>
      <vt:variant>
        <vt:lpwstr/>
      </vt:variant>
      <vt:variant>
        <vt:i4>7012410</vt:i4>
      </vt:variant>
      <vt:variant>
        <vt:i4>9</vt:i4>
      </vt:variant>
      <vt:variant>
        <vt:i4>0</vt:i4>
      </vt:variant>
      <vt:variant>
        <vt:i4>5</vt:i4>
      </vt:variant>
      <vt:variant>
        <vt:lpwstr>https://scholarlykitchen.sspnet.org/2026/06/15/guest-post-the-us-governments-new-guidance-for-federal-grants-and-the-case-for-scholarly-societies/</vt:lpwstr>
      </vt:variant>
      <vt:variant>
        <vt:lpwstr/>
      </vt:variant>
      <vt:variant>
        <vt:i4>6488120</vt:i4>
      </vt:variant>
      <vt:variant>
        <vt:i4>6</vt:i4>
      </vt:variant>
      <vt:variant>
        <vt:i4>0</vt:i4>
      </vt:variant>
      <vt:variant>
        <vt:i4>5</vt:i4>
      </vt:variant>
      <vt:variant>
        <vt:lpwstr>https://www.ift.org/siteassets/1-page-sections-media-blocks/4-policy-and-advocacy/docs/information-and-resources/food-research-call-to-action-on-funding-and-priorities.pdf</vt:lpwstr>
      </vt:variant>
      <vt:variant>
        <vt:lpwstr/>
      </vt:variant>
      <vt:variant>
        <vt:i4>3932194</vt:i4>
      </vt:variant>
      <vt:variant>
        <vt:i4>3</vt:i4>
      </vt:variant>
      <vt:variant>
        <vt:i4>0</vt:i4>
      </vt:variant>
      <vt:variant>
        <vt:i4>5</vt:i4>
      </vt:variant>
      <vt:variant>
        <vt:lpwstr>https://www.federalregister.gov/documents/2026/05/29/2026-10817/regulation-for-federal-financial-assistance</vt:lpwstr>
      </vt:variant>
      <vt:variant>
        <vt:lpwstr>open-comment</vt:lpwstr>
      </vt:variant>
      <vt:variant>
        <vt:i4>3997801</vt:i4>
      </vt:variant>
      <vt:variant>
        <vt:i4>0</vt:i4>
      </vt:variant>
      <vt:variant>
        <vt:i4>0</vt:i4>
      </vt:variant>
      <vt:variant>
        <vt:i4>5</vt:i4>
      </vt:variant>
      <vt:variant>
        <vt:lpwstr>https://www.federalregister.gov/documents/2026/05/29/2026-10817/regulation-for-federal-financial-assistance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Van Milligen</dc:creator>
  <cp:keywords/>
  <dc:description/>
  <cp:lastModifiedBy>Dennis Van Milligen</cp:lastModifiedBy>
  <cp:revision>158</cp:revision>
  <dcterms:created xsi:type="dcterms:W3CDTF">2026-06-29T22:48:00Z</dcterms:created>
  <dcterms:modified xsi:type="dcterms:W3CDTF">2026-06-30T14:17:00Z</dcterms:modified>
</cp:coreProperties>
</file>